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"/>
        <w:gridCol w:w="20"/>
        <w:gridCol w:w="1491"/>
        <w:gridCol w:w="297"/>
        <w:gridCol w:w="29"/>
        <w:gridCol w:w="111"/>
        <w:gridCol w:w="1452"/>
        <w:gridCol w:w="61"/>
        <w:gridCol w:w="1013"/>
        <w:gridCol w:w="20"/>
        <w:gridCol w:w="549"/>
        <w:gridCol w:w="147"/>
        <w:gridCol w:w="866"/>
        <w:gridCol w:w="20"/>
        <w:gridCol w:w="277"/>
        <w:gridCol w:w="266"/>
        <w:gridCol w:w="153"/>
        <w:gridCol w:w="245"/>
        <w:gridCol w:w="183"/>
        <w:gridCol w:w="57"/>
        <w:gridCol w:w="293"/>
        <w:gridCol w:w="385"/>
        <w:gridCol w:w="229"/>
        <w:gridCol w:w="11"/>
        <w:gridCol w:w="18"/>
        <w:gridCol w:w="11"/>
        <w:gridCol w:w="398"/>
        <w:gridCol w:w="183"/>
        <w:gridCol w:w="57"/>
        <w:gridCol w:w="906"/>
        <w:gridCol w:w="11"/>
        <w:gridCol w:w="29"/>
      </w:tblGrid>
      <w:tr w:rsidR="00FB71D8" w:rsidRPr="00FB71D8" w:rsidTr="007B50BE">
        <w:trPr>
          <w:gridAfter w:val="2"/>
          <w:wAfter w:w="40" w:type="dxa"/>
          <w:trHeight w:val="289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798" w:type="dxa"/>
            <w:gridSpan w:val="24"/>
            <w:vMerge w:val="restart"/>
          </w:tcPr>
          <w:p w:rsidR="00FB71D8" w:rsidRPr="007B50BE" w:rsidRDefault="007617EA" w:rsidP="00D31CE4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50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FB71D8" w:rsidRPr="007B50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 высшего образования Центросоюза Российской Федерации</w:t>
            </w:r>
          </w:p>
          <w:p w:rsidR="00FB71D8" w:rsidRPr="007B50BE" w:rsidRDefault="00FB71D8" w:rsidP="00D31CE4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50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«Сибирский университет потребительской кооперации»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="00D31CE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B71D8" w:rsidRPr="00FB71D8" w:rsidRDefault="00FB71D8" w:rsidP="00FB71D8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7B50BE" w:rsidRDefault="007B50BE" w:rsidP="007B50BE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D31CE4" w:rsidRPr="00D31CE4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1BE1CB41" wp14:editId="403F4B5D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Л.В. </w:t>
            </w:r>
            <w:proofErr w:type="spellStart"/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Ватлина</w:t>
            </w:r>
            <w:proofErr w:type="spellEnd"/>
          </w:p>
          <w:p w:rsidR="00FB71D8" w:rsidRDefault="007B50BE" w:rsidP="007B50BE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Pr="007B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7B50BE" w:rsidRPr="00FB71D8" w:rsidRDefault="007B50BE" w:rsidP="007B50BE">
            <w:pPr>
              <w:tabs>
                <w:tab w:val="center" w:pos="3899"/>
                <w:tab w:val="left" w:pos="5472"/>
                <w:tab w:val="left" w:pos="8460"/>
                <w:tab w:val="left" w:pos="11700"/>
              </w:tabs>
              <w:overflowPunct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gridAfter w:val="2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7617EA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 w:rsidRPr="00F416B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73B04F4" wp14:editId="0E39DA23">
                  <wp:extent cx="882015" cy="12407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98" w:type="dxa"/>
            <w:gridSpan w:val="24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gridAfter w:val="2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98" w:type="dxa"/>
            <w:gridSpan w:val="24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B71D8" w:rsidRPr="00FB71D8" w:rsidTr="007B50BE">
        <w:trPr>
          <w:trHeight w:val="708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3" w:type="dxa"/>
            <w:gridSpan w:val="4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6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3" w:type="dxa"/>
            <w:gridSpan w:val="5"/>
          </w:tcPr>
          <w:p w:rsidR="00FB71D8" w:rsidRPr="00FB71D8" w:rsidRDefault="007B50B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0"/>
              </w:rPr>
              <w:t xml:space="preserve">  </w:t>
            </w:r>
          </w:p>
        </w:tc>
        <w:tc>
          <w:tcPr>
            <w:tcW w:w="266" w:type="dxa"/>
            <w:gridSpan w:val="4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28" w:type="dxa"/>
            <w:gridSpan w:val="2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31"/>
            </w:tblGrid>
            <w:tr w:rsidR="00FB71D8" w:rsidRPr="00FB71D8" w:rsidTr="00FB71D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31CE4" w:rsidRDefault="00D31CE4" w:rsidP="00D31CE4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FB71D8" w:rsidRPr="00FB71D8" w:rsidRDefault="00D31CE4" w:rsidP="00D31CE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31CE4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47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7B50BE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 ХИМИЯ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trHeight w:val="24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gridSpan w:val="4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4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trHeight w:val="500"/>
        </w:trPr>
        <w:tc>
          <w:tcPr>
            <w:tcW w:w="9781" w:type="dxa"/>
            <w:gridSpan w:val="3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="007B50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trHeight w:val="500"/>
        </w:trPr>
        <w:tc>
          <w:tcPr>
            <w:tcW w:w="9781" w:type="dxa"/>
            <w:gridSpan w:val="3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211426" w:rsidRDefault="00D3210A" w:rsidP="00FB71D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40.02.0</w:t>
                  </w:r>
                  <w:r w:rsidR="00572FE0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2</w:t>
                  </w:r>
                  <w:r w:rsidR="00211426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 w:rsidR="00FB71D8" w:rsidRPr="00FB71D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proofErr w:type="gramStart"/>
                  <w:r w:rsidR="00572FE0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Правоохранительная</w:t>
                  </w:r>
                  <w:proofErr w:type="gramEnd"/>
                  <w:r w:rsidR="00572FE0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деятельности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B50BE" w:rsidRPr="007B50BE" w:rsidRDefault="007B50BE" w:rsidP="007B50B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gramStart"/>
                  <w:r w:rsidRPr="007B50B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7B50B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Оперативно-служебная деятельность)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47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72FE0" w:rsidRDefault="00FB71D8" w:rsidP="007B50BE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Квалификация </w:t>
                  </w:r>
                  <w:r w:rsidRPr="00FB71D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572FE0" w:rsidRDefault="00D31CE4" w:rsidP="00572FE0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Юрист</w:t>
                  </w:r>
                </w:p>
                <w:p w:rsidR="009F2CB1" w:rsidRPr="00D70ED1" w:rsidRDefault="009F2CB1" w:rsidP="00572FE0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9F2CB1" w:rsidRPr="009F2CB1" w:rsidRDefault="009F2CB1" w:rsidP="009F2CB1">
                  <w:pPr>
                    <w:widowControl/>
                    <w:autoSpaceDE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F2C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</w:p>
                <w:p w:rsidR="00FB71D8" w:rsidRPr="00D70ED1" w:rsidRDefault="00FB71D8" w:rsidP="00211426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F2CB1" w:rsidRPr="00FB71D8" w:rsidTr="009F2CB1">
        <w:trPr>
          <w:gridAfter w:val="6"/>
          <w:wAfter w:w="1582" w:type="dxa"/>
          <w:trHeight w:val="1100"/>
        </w:trPr>
        <w:tc>
          <w:tcPr>
            <w:tcW w:w="34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9F2CB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2CB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2CB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2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3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  <w:gridSpan w:val="3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F2CB1" w:rsidRPr="00FB71D8" w:rsidTr="009F2CB1">
        <w:trPr>
          <w:gridAfter w:val="7"/>
          <w:wAfter w:w="1593" w:type="dxa"/>
          <w:trHeight w:val="539"/>
        </w:trPr>
        <w:tc>
          <w:tcPr>
            <w:tcW w:w="34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"/>
            </w:tblGrid>
            <w:tr w:rsidR="009F2CB1" w:rsidRPr="00FB71D8" w:rsidTr="00FB71D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F2CB1" w:rsidRPr="00FB71D8" w:rsidRDefault="009F2CB1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F2CB1" w:rsidRPr="00FB71D8" w:rsidRDefault="009F2CB1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3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4" w:type="dxa"/>
            <w:gridSpan w:val="2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F2CB1" w:rsidRPr="00D70ED1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9F2CB1">
        <w:trPr>
          <w:trHeight w:val="266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</w:tcPr>
          <w:p w:rsidR="00FB71D8" w:rsidRPr="00FB71D8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B71D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82" w:type="dxa"/>
            <w:gridSpan w:val="3"/>
          </w:tcPr>
          <w:p w:rsidR="00FB71D8" w:rsidRDefault="009F2CB1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D31C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Новосибирск </w:t>
            </w:r>
          </w:p>
          <w:p w:rsidR="00D31CE4" w:rsidRPr="00D70ED1" w:rsidRDefault="007617EA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2025</w:t>
            </w:r>
            <w:r w:rsidR="00D31C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3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5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4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3" w:type="dxa"/>
            <w:gridSpan w:val="2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0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B71D8" w:rsidRPr="00FB71D8" w:rsidRDefault="00FB71D8" w:rsidP="00FB71D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FB71D8" w:rsidRPr="00FB71D8" w:rsidTr="00356740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DC63BC" w:rsidRDefault="00FB71D8" w:rsidP="007B50BE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Рабочая программа </w:t>
                  </w:r>
                  <w:r w:rsidR="0059699C" w:rsidRPr="0059699C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</w:rPr>
                    <w:t>общеобразовательной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дисциплины Химия разработана в соответствии с </w:t>
                  </w:r>
                  <w:r w:rsidR="00C6259A" w:rsidRPr="00C6259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требованиями федерального государственного образовательного стандарта по специальности </w:t>
                  </w:r>
                  <w:r w:rsidR="007B50BE" w:rsidRPr="007B50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40.02.02 Правоохранительная деятельность </w:t>
                  </w:r>
                  <w:r w:rsidR="007B50BE" w:rsidRPr="007B50BE">
                    <w:rPr>
                      <w:rFonts w:ascii="Times New Roman" w:eastAsia="Times New Roman" w:hAnsi="Times New Roman" w:cs="Times New Roman"/>
                      <w:bCs/>
                    </w:rPr>
                    <w:t>(направленность:</w:t>
                  </w:r>
                  <w:proofErr w:type="gramEnd"/>
                  <w:r w:rsidR="007B50BE" w:rsidRPr="007B50BE">
                    <w:rPr>
                      <w:rFonts w:ascii="Times New Roman" w:eastAsia="Times New Roman" w:hAnsi="Times New Roman" w:cs="Times New Roman"/>
                      <w:bCs/>
                    </w:rPr>
                    <w:t xml:space="preserve"> Оперативно-служебная деятельность)</w:t>
                  </w:r>
                  <w:r w:rsidR="007B50BE" w:rsidRPr="007B50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gramStart"/>
                  <w:r w:rsidR="007B50BE" w:rsidRPr="007B50BE">
                    <w:rPr>
                      <w:rFonts w:ascii="Times New Roman" w:eastAsia="Times New Roman" w:hAnsi="Times New Roman" w:cs="Times New Roman"/>
                      <w:color w:val="000000"/>
                    </w:rPr>
                    <w:t>утвержденного</w:t>
                  </w:r>
                  <w:proofErr w:type="gramEnd"/>
                  <w:r w:rsidR="007B50BE" w:rsidRPr="007B50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приказом </w:t>
                  </w:r>
                  <w:proofErr w:type="spellStart"/>
                  <w:r w:rsidR="007B50BE" w:rsidRPr="007B50BE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Минпросвещения</w:t>
                  </w:r>
                  <w:proofErr w:type="spellEnd"/>
                  <w:r w:rsidR="007B50BE" w:rsidRPr="007B50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 от 10.01.2025 № 3.</w:t>
                  </w:r>
                </w:p>
              </w:tc>
            </w:tr>
            <w:tr w:rsidR="007B50BE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50BE" w:rsidRPr="00FB71D8" w:rsidRDefault="007B50BE" w:rsidP="007B50BE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B71D8" w:rsidRPr="00FB71D8" w:rsidTr="00FB71D8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B71D8" w:rsidRPr="00FB71D8" w:rsidRDefault="00D70ED1" w:rsidP="0021142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Минина А.В.</w:t>
            </w:r>
            <w:r w:rsidR="00516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B71D8"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хим. наук, доцент </w:t>
            </w:r>
            <w:r w:rsidR="00FB71D8"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D31CE4" w:rsidRPr="00D31C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FB71D8" w:rsidRPr="00FB71D8" w:rsidTr="00FB71D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B71D8" w:rsidRPr="00FB71D8" w:rsidTr="00FB71D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D70ED1" w:rsidP="00211426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Листко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В.Ю.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канд. 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./х.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наук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доцент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зав.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кафедры</w:t>
                  </w:r>
                  <w:r w:rsidR="00D31CE4" w:rsidRPr="00D31CE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естественных наук и безопасности жизнедеятельности   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Pr="00FB71D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DC3B4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59699C" w:rsidRPr="0059699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общеобразовательной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DC3B48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рассмотрена и одобрена на заседании кафедры </w:t>
            </w:r>
            <w:r w:rsidR="00DC3B48" w:rsidRPr="00E82D2F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DC3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</w:t>
            </w:r>
            <w:r w:rsidRP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7617EA" w:rsidRPr="0076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28.05.2025 </w:t>
            </w:r>
            <w:r w:rsidRP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№ </w:t>
            </w:r>
            <w:r w:rsid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699C" w:rsidRPr="00FB71D8" w:rsidRDefault="0059699C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E82D2F" w:rsidRDefault="00E82D2F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</w:t>
            </w:r>
          </w:p>
          <w:p w:rsidR="00FB71D8" w:rsidRPr="00FB71D8" w:rsidRDefault="00E82D2F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безопасности жизнедеятельности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82D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DC6930" wp14:editId="0EBC33F4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="00FB71D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0EB0" w:rsidRDefault="00BD0EB0">
      <w:pPr>
        <w:pStyle w:val="a3"/>
        <w:ind w:left="575"/>
        <w:rPr>
          <w:rFonts w:ascii="Times New Roman"/>
          <w:sz w:val="20"/>
        </w:rPr>
      </w:pPr>
    </w:p>
    <w:p w:rsidR="00FB71D8" w:rsidRDefault="00FB71D8">
      <w:pPr>
        <w:pStyle w:val="a3"/>
        <w:ind w:left="575"/>
        <w:rPr>
          <w:rFonts w:ascii="Times New Roman"/>
          <w:sz w:val="20"/>
        </w:rPr>
      </w:pPr>
    </w:p>
    <w:p w:rsidR="005E3DF7" w:rsidRDefault="00BD0EB0">
      <w:pPr>
        <w:pStyle w:val="a3"/>
        <w:ind w:left="57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.</w:t>
      </w: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DC3B4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Общая характеристика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59699C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 ……………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</w:t>
            </w:r>
            <w:r w:rsidR="0059699C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разовательной дисциплины 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 w:rsidR="0059699C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B0730A">
        <w:fldChar w:fldCharType="begin"/>
      </w:r>
      <w:r w:rsidR="00166F0C">
        <w:instrText>HYPERLINK \l "_bookmark7"</w:instrText>
      </w:r>
      <w:r w:rsidR="00B0730A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B0730A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9F1C6B">
      <w:pPr>
        <w:pStyle w:val="1"/>
        <w:numPr>
          <w:ilvl w:val="0"/>
          <w:numId w:val="53"/>
        </w:numPr>
        <w:tabs>
          <w:tab w:val="left" w:pos="507"/>
        </w:tabs>
        <w:spacing w:before="38" w:line="268" w:lineRule="auto"/>
        <w:ind w:right="126" w:hanging="3420"/>
        <w:jc w:val="left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 xml:space="preserve">Общая характеристика рабочей программы общеобразовательной дисциплины 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Pr="00053AC6" w:rsidRDefault="00053AC6" w:rsidP="000F7604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5E3DF7" w:rsidRPr="00053AC6" w:rsidRDefault="009F1C6B" w:rsidP="008931B9">
      <w:pPr>
        <w:pStyle w:val="a3"/>
        <w:tabs>
          <w:tab w:val="left" w:pos="8264"/>
        </w:tabs>
        <w:spacing w:line="264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Общеобразовательная дисциплина </w:t>
      </w:r>
      <w:r w:rsidR="00DC3B48">
        <w:rPr>
          <w:rStyle w:val="a7"/>
          <w:rFonts w:ascii="Times New Roman" w:hAnsi="Times New Roman" w:cs="Times New Roman"/>
          <w:color w:val="auto"/>
          <w:u w:val="none"/>
        </w:rPr>
        <w:t>ОД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>Химия является обязательной частью общеобразовательного цикла образовательной программы</w:t>
      </w:r>
      <w:r w:rsidR="008931B9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в соответствии с </w:t>
      </w:r>
      <w:r w:rsidR="00053AC6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федеральным образовательным стандартом среднего общего образования по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специальности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="005E6913">
        <w:rPr>
          <w:rStyle w:val="a7"/>
          <w:rFonts w:ascii="Times New Roman" w:hAnsi="Times New Roman" w:cs="Times New Roman"/>
          <w:color w:val="auto"/>
          <w:u w:val="none"/>
        </w:rPr>
        <w:t>40.02.0</w:t>
      </w:r>
      <w:r w:rsidR="005167A6">
        <w:rPr>
          <w:rStyle w:val="a7"/>
          <w:rFonts w:ascii="Times New Roman" w:hAnsi="Times New Roman" w:cs="Times New Roman"/>
          <w:color w:val="auto"/>
          <w:u w:val="none"/>
        </w:rPr>
        <w:t>2</w:t>
      </w:r>
      <w:r w:rsidR="005E6913" w:rsidRPr="0058755A">
        <w:rPr>
          <w:rStyle w:val="a7"/>
          <w:rFonts w:ascii="Times New Roman" w:hAnsi="Times New Roman" w:cs="Times New Roman"/>
          <w:color w:val="auto"/>
          <w:u w:val="none"/>
        </w:rPr>
        <w:t xml:space="preserve">  </w:t>
      </w:r>
      <w:r w:rsidR="005167A6">
        <w:rPr>
          <w:rFonts w:ascii="Times New Roman" w:eastAsia="Times New Roman" w:hAnsi="Times New Roman" w:cs="Times New Roman"/>
          <w:lang w:eastAsia="ru-RU"/>
        </w:rPr>
        <w:t>Правоохранительная деятельность.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DC3B48">
        <w:rPr>
          <w:rStyle w:val="a7"/>
          <w:rFonts w:ascii="Times New Roman" w:hAnsi="Times New Roman" w:cs="Times New Roman"/>
          <w:color w:val="auto"/>
          <w:u w:val="none"/>
        </w:rPr>
        <w:t>ОД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053AC6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053AC6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DC446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>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 xml:space="preserve">развить умения анализировать, оценивать, проверять на </w:t>
      </w:r>
      <w:r w:rsidRPr="00053AC6">
        <w:rPr>
          <w:rFonts w:ascii="Times New Roman" w:hAnsi="Times New Roman" w:cs="Times New Roman"/>
          <w:sz w:val="28"/>
          <w:szCs w:val="28"/>
        </w:rPr>
        <w:lastRenderedPageBreak/>
        <w:t>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59699C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</w:t>
            </w:r>
          </w:p>
          <w:p w:rsidR="005E3DF7" w:rsidRPr="0059699C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59699C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свое</w:t>
            </w:r>
            <w:bookmarkStart w:id="4" w:name="_bookmark2"/>
            <w:bookmarkEnd w:id="4"/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59699C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59699C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  <w:p w:rsidR="001F7706" w:rsidRPr="0059699C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59699C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  <w:p w:rsidR="005E3DF7" w:rsidRPr="0059699C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9F2CB1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</w:tblGrid>
      <w:tr w:rsidR="00483698" w:rsidRPr="00053AC6" w:rsidTr="00DC3B48">
        <w:trPr>
          <w:trHeight w:val="2689"/>
        </w:trPr>
        <w:tc>
          <w:tcPr>
            <w:tcW w:w="2383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9F2CB1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053AC6" w:rsidRDefault="0059699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59699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 контрольные работы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9699C" w:rsidRPr="00053AC6">
        <w:trPr>
          <w:trHeight w:val="489"/>
        </w:trPr>
        <w:tc>
          <w:tcPr>
            <w:tcW w:w="7474" w:type="dxa"/>
          </w:tcPr>
          <w:p w:rsidR="0059699C" w:rsidRPr="00053AC6" w:rsidRDefault="0059699C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667" w:type="dxa"/>
          </w:tcPr>
          <w:p w:rsidR="0059699C" w:rsidRPr="00053AC6" w:rsidRDefault="0059699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59699C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59699C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2667" w:type="dxa"/>
          </w:tcPr>
          <w:p w:rsidR="005E3DF7" w:rsidRPr="00053AC6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27"/>
        <w:gridCol w:w="1945"/>
        <w:gridCol w:w="6"/>
        <w:gridCol w:w="8"/>
        <w:gridCol w:w="10647"/>
        <w:gridCol w:w="6"/>
        <w:gridCol w:w="25"/>
        <w:gridCol w:w="960"/>
        <w:gridCol w:w="11"/>
        <w:gridCol w:w="22"/>
        <w:gridCol w:w="1810"/>
        <w:gridCol w:w="17"/>
        <w:gridCol w:w="40"/>
      </w:tblGrid>
      <w:tr w:rsidR="005E3DF7" w:rsidRPr="00053AC6" w:rsidTr="008C761A">
        <w:trPr>
          <w:gridAfter w:val="2"/>
          <w:wAfter w:w="57" w:type="dxa"/>
          <w:trHeight w:val="623"/>
        </w:trPr>
        <w:tc>
          <w:tcPr>
            <w:tcW w:w="19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8C761A">
        <w:trPr>
          <w:gridAfter w:val="2"/>
          <w:wAfter w:w="57" w:type="dxa"/>
          <w:trHeight w:val="313"/>
        </w:trPr>
        <w:tc>
          <w:tcPr>
            <w:tcW w:w="12639" w:type="dxa"/>
            <w:gridSpan w:val="6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2"/>
          <w:wAfter w:w="57" w:type="dxa"/>
          <w:trHeight w:val="311"/>
        </w:trPr>
        <w:tc>
          <w:tcPr>
            <w:tcW w:w="12639" w:type="dxa"/>
            <w:gridSpan w:val="6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tcBorders>
              <w:bottom w:val="nil"/>
            </w:tcBorders>
          </w:tcPr>
          <w:p w:rsidR="005E3DF7" w:rsidRPr="00053AC6" w:rsidRDefault="009F1C6B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2"/>
          <w:wAfter w:w="57" w:type="dxa"/>
          <w:trHeight w:val="321"/>
        </w:trPr>
        <w:tc>
          <w:tcPr>
            <w:tcW w:w="1978" w:type="dxa"/>
            <w:gridSpan w:val="3"/>
            <w:vMerge w:val="restart"/>
            <w:tcBorders>
              <w:top w:val="nil"/>
            </w:tcBorders>
          </w:tcPr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281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63BC" w:rsidRPr="00053AC6" w:rsidRDefault="00DC63BC" w:rsidP="00DC3B48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модель строения атома. Электронная конфигурация 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атома. Классификация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природа химической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идности и механизмы образования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DC63BC" w:rsidRPr="00053AC6" w:rsidRDefault="00636FBA" w:rsidP="00636FBA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Межмолекулярные взаимодействия. </w:t>
            </w:r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DC63BC" w:rsidRPr="00053AC6" w:rsidRDefault="00DC63BC" w:rsidP="00DC3B48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аний соединений по номенклатуре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альных названий для составления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идов, гидридов и т.п.) и других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623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31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2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00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626"/>
        </w:trPr>
        <w:tc>
          <w:tcPr>
            <w:tcW w:w="1978" w:type="dxa"/>
            <w:gridSpan w:val="3"/>
            <w:vMerge/>
            <w:tcBorders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bottom w:val="nil"/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636FBA">
        <w:trPr>
          <w:gridAfter w:val="2"/>
          <w:wAfter w:w="57" w:type="dxa"/>
          <w:trHeight w:val="80"/>
        </w:trPr>
        <w:tc>
          <w:tcPr>
            <w:tcW w:w="1978" w:type="dxa"/>
            <w:gridSpan w:val="3"/>
            <w:tcBorders>
              <w:top w:val="nil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2"/>
          <w:wAfter w:w="57" w:type="dxa"/>
          <w:trHeight w:val="279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59699C">
        <w:trPr>
          <w:gridAfter w:val="2"/>
          <w:wAfter w:w="57" w:type="dxa"/>
          <w:trHeight w:val="32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2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DC3B48">
        <w:trPr>
          <w:gridAfter w:val="2"/>
          <w:wAfter w:w="57" w:type="dxa"/>
          <w:trHeight w:val="32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03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3B48" w:rsidRPr="00053AC6" w:rsidRDefault="00DC3B48" w:rsidP="00DC3B48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12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17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C506CE">
        <w:trPr>
          <w:gridBefore w:val="1"/>
          <w:gridAfter w:val="1"/>
          <w:wBefore w:w="6" w:type="dxa"/>
          <w:wAfter w:w="40" w:type="dxa"/>
          <w:trHeight w:val="1244"/>
        </w:trPr>
        <w:tc>
          <w:tcPr>
            <w:tcW w:w="1978" w:type="dxa"/>
            <w:gridSpan w:val="3"/>
            <w:vMerge w:val="restart"/>
            <w:tcBorders>
              <w:righ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36FBA" w:rsidRPr="00053AC6" w:rsidRDefault="00636FBA" w:rsidP="00DC3B4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теоретических заданий на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«Металлические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636FBA">
        <w:trPr>
          <w:gridBefore w:val="1"/>
          <w:gridAfter w:val="1"/>
          <w:wBefore w:w="6" w:type="dxa"/>
          <w:wAfter w:w="40" w:type="dxa"/>
          <w:trHeight w:val="369"/>
        </w:trPr>
        <w:tc>
          <w:tcPr>
            <w:tcW w:w="1978" w:type="dxa"/>
            <w:gridSpan w:val="3"/>
            <w:vMerge/>
            <w:tcBorders>
              <w:righ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36FBA" w:rsidRPr="00053AC6" w:rsidRDefault="00636FBA" w:rsidP="00DC3B4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FBA" w:rsidRPr="00053AC6" w:rsidRDefault="00636FBA" w:rsidP="00636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8"/>
        </w:trPr>
        <w:tc>
          <w:tcPr>
            <w:tcW w:w="12639" w:type="dxa"/>
            <w:gridSpan w:val="6"/>
            <w:tcBorders>
              <w:bottom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6"/>
        </w:trPr>
        <w:tc>
          <w:tcPr>
            <w:tcW w:w="1978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263"/>
        </w:trPr>
        <w:tc>
          <w:tcPr>
            <w:tcW w:w="1978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4078"/>
        </w:trPr>
        <w:tc>
          <w:tcPr>
            <w:tcW w:w="1978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ой массовой долей растворенного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и восстановитель. </w:t>
            </w:r>
            <w:proofErr w:type="spellStart"/>
            <w:r w:rsidR="00DC3B48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="00DC3B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ные неорганические окислители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3"/>
        </w:trPr>
        <w:tc>
          <w:tcPr>
            <w:tcW w:w="197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3B48" w:rsidRPr="00053AC6" w:rsidTr="0059699C">
        <w:trPr>
          <w:gridBefore w:val="1"/>
          <w:gridAfter w:val="1"/>
          <w:wBefore w:w="6" w:type="dxa"/>
          <w:wAfter w:w="40" w:type="dxa"/>
          <w:trHeight w:val="325"/>
        </w:trPr>
        <w:tc>
          <w:tcPr>
            <w:tcW w:w="197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C3B48" w:rsidRPr="00053AC6" w:rsidRDefault="00DC3B48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 w:val="restart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7D1E2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7D1E2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6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и их реакций с растворами щелочи и карбоната натрия. Составление реакций гидролиза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солей.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7D1E2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6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3"/>
        </w:trPr>
        <w:tc>
          <w:tcPr>
            <w:tcW w:w="1978" w:type="dxa"/>
            <w:gridSpan w:val="3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3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2639" w:type="dxa"/>
            <w:gridSpan w:val="6"/>
          </w:tcPr>
          <w:p w:rsidR="0059699C" w:rsidRPr="00053AC6" w:rsidRDefault="0059699C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6"/>
        </w:trPr>
        <w:tc>
          <w:tcPr>
            <w:tcW w:w="1978" w:type="dxa"/>
            <w:gridSpan w:val="3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C506CE" w:rsidRPr="00053AC6" w:rsidRDefault="00C506CE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21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(называть и составлять формулы химических веществ, определять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я литература, средства массовой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7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3"/>
        </w:trPr>
        <w:tc>
          <w:tcPr>
            <w:tcW w:w="1978" w:type="dxa"/>
            <w:gridSpan w:val="3"/>
            <w:vMerge w:val="restart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36FBA" w:rsidRPr="00053AC6" w:rsidTr="000D3FE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5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0D3FE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849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636FBA" w:rsidRPr="00053AC6" w:rsidRDefault="00636FBA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уговороты биогенных элементов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636FBA" w:rsidRPr="00053AC6" w:rsidRDefault="00636FBA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соединений,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0D3FE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0D3FE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561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636FBA" w:rsidRPr="00053AC6" w:rsidRDefault="00636FBA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0D3FE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0D3FE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0D3FE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08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636FB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0"/>
        </w:trPr>
        <w:tc>
          <w:tcPr>
            <w:tcW w:w="1978" w:type="dxa"/>
            <w:gridSpan w:val="3"/>
            <w:vMerge w:val="restart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быту и на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36FBA" w:rsidRPr="00053AC6" w:rsidTr="005C5CE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5C5CE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7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636FBA" w:rsidRPr="00053AC6" w:rsidRDefault="00636FBA" w:rsidP="00096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щелочноземельных металлов и алюминия. Стекло и силикатная промышленность.</w:t>
            </w:r>
          </w:p>
          <w:p w:rsidR="00636FBA" w:rsidRPr="00053AC6" w:rsidRDefault="00636FBA" w:rsidP="00096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Проблема отходов и побочных продуктов.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0968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1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5C5CE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5C5CE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3"/>
        </w:trPr>
        <w:tc>
          <w:tcPr>
            <w:tcW w:w="19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2639" w:type="dxa"/>
            <w:gridSpan w:val="6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3"/>
            <w:vMerge w:val="restart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36FBA" w:rsidRPr="00053AC6" w:rsidTr="008A458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A458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497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A458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09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A458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561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молекулы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сходя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 элементного состава (в %).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A458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6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32"/>
        </w:trPr>
        <w:tc>
          <w:tcPr>
            <w:tcW w:w="1978" w:type="dxa"/>
            <w:gridSpan w:val="3"/>
            <w:vMerge w:val="restart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Свойства органических соединений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37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4976"/>
        </w:trPr>
        <w:tc>
          <w:tcPr>
            <w:tcW w:w="1978" w:type="dxa"/>
            <w:gridSpan w:val="3"/>
            <w:vMerge w:val="restart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классов (особенности классификации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ного пламени для сварки и резки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х кислот. Моющие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7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3"/>
            <w:vMerge w:val="restart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4.3. Органичес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вещества в жизнедеятельност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человека.</w:t>
            </w:r>
          </w:p>
          <w:p w:rsidR="0059699C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09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5152"/>
        </w:trPr>
        <w:tc>
          <w:tcPr>
            <w:tcW w:w="1978" w:type="dxa"/>
            <w:gridSpan w:val="3"/>
            <w:vMerge/>
            <w:tcBorders>
              <w:bottom w:val="single" w:sz="8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8" w:space="0" w:color="000000"/>
            </w:tcBorders>
          </w:tcPr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5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5"/>
        </w:trPr>
        <w:tc>
          <w:tcPr>
            <w:tcW w:w="1978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2639" w:type="dxa"/>
            <w:gridSpan w:val="6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6"/>
        </w:trPr>
        <w:tc>
          <w:tcPr>
            <w:tcW w:w="1978" w:type="dxa"/>
            <w:gridSpan w:val="3"/>
            <w:vMerge w:val="restart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5.1. Кинетические закономерности протекания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5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586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31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600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Энергия активации. Активированный комплекс. Катализаторы и катализ. Роль катализаторов в природе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21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3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185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873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2"/>
          <w:gridAfter w:val="2"/>
          <w:wBefore w:w="33" w:type="dxa"/>
          <w:wAfter w:w="57" w:type="dxa"/>
          <w:trHeight w:val="318"/>
        </w:trPr>
        <w:tc>
          <w:tcPr>
            <w:tcW w:w="12606" w:type="dxa"/>
            <w:gridSpan w:val="4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5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35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оценке экологической безопасности.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63"/>
        </w:trPr>
        <w:tc>
          <w:tcPr>
            <w:tcW w:w="1978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6.2. Исследование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 дисперсных систем для их идентификации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2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7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мицеллы.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Рассеивание света при прохождении светового пучка через оптически неоднородную среду (эффекта</w:t>
            </w:r>
            <w:proofErr w:type="gramEnd"/>
          </w:p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5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7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5"/>
        </w:trPr>
        <w:tc>
          <w:tcPr>
            <w:tcW w:w="12639" w:type="dxa"/>
            <w:gridSpan w:val="6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02"/>
        </w:trPr>
        <w:tc>
          <w:tcPr>
            <w:tcW w:w="1978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31"/>
        </w:trPr>
        <w:tc>
          <w:tcPr>
            <w:tcW w:w="1978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444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7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60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реальных объектах окружающей среды.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7.2. Обнаружение органических веществ отдельных классов с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качественных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49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13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76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800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2670" w:type="dxa"/>
            <w:gridSpan w:val="8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59699C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1"/>
        </w:trPr>
        <w:tc>
          <w:tcPr>
            <w:tcW w:w="1984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4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4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информации, сеть Интернет и другие).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53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30"/>
        </w:trPr>
        <w:tc>
          <w:tcPr>
            <w:tcW w:w="12670" w:type="dxa"/>
            <w:gridSpan w:val="8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7"/>
        </w:trPr>
        <w:tc>
          <w:tcPr>
            <w:tcW w:w="1992" w:type="dxa"/>
            <w:gridSpan w:val="5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. Химический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71" w:type="dxa"/>
            <w:gridSpan w:val="2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9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постоянной</w:t>
            </w:r>
            <w:proofErr w:type="gramEnd"/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(ПДК).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88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щелочности проб воды. Установление способов использования исследованных проб воды в жизнедеятельности человека, на основе полученных данных о составе.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89" w:type="dxa"/>
          <w:trHeight w:val="344"/>
        </w:trPr>
        <w:tc>
          <w:tcPr>
            <w:tcW w:w="1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513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89" w:type="dxa"/>
          <w:trHeight w:val="344"/>
        </w:trPr>
        <w:tc>
          <w:tcPr>
            <w:tcW w:w="1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27347" w:rsidRPr="00053AC6" w:rsidTr="00513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89" w:type="dxa"/>
          <w:trHeight w:val="344"/>
        </w:trPr>
        <w:tc>
          <w:tcPr>
            <w:tcW w:w="1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636FBA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490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Анфиногенова, И. В. Химия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и практикум для среднего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профессионального образования / И. В. Анфиногенова, А. В.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В. А. Попков. - 2-е изд.,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испр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 - Москва 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2023. - 291 с. - URL: </w:t>
                        </w:r>
                        <w:hyperlink r:id="rId16" w:tgtFrame="_blank" w:history="1">
                          <w:r w:rsidRPr="00AD43D2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https://urait.ru/bcode/513807</w:t>
                          </w:r>
                        </w:hyperlink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03.04.2023). - Режим доступа: по подписке ШГПУ. - Текст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электронный.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2.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Химия. 10 класс :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учебник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:б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азовый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уровень /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О.С.Габриелян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- 7-е изд., стер. - М.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Дрофа, 20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23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- 192с. : ил. -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val="en-US"/>
                          </w:rPr>
                          <w:t>ISBN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978-5-358-21274-9.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Глинка, Н. Л.  Общая химия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для среднего профессионального образования / Н. Л. Глинка ; под редакцией В. А. Попкова, А. В. 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 — 20-е изд.,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2024. — 713 с. — (Профессиональное образование). — ISBN 978-5-534-19093-9. — Текст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[сайт]. — URL: </w:t>
                        </w:r>
                        <w:hyperlink r:id="rId17" w:tgtFrame="_blank" w:history="1">
                          <w:r w:rsidRPr="00D14EC1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https://urait.ru/bcode/555941</w:t>
                          </w:r>
                        </w:hyperlink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04.06.2024).</w:t>
                        </w:r>
                      </w:p>
                      <w:p w:rsidR="00D90A57" w:rsidRPr="00D14EC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Блинов, Л. Н. Химия: учебник для СПО / Л. Н. Блинов, И. Л.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Перфилова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Т. В. Соколова. —2-е изд., стер. — Санкт-Петербург: Лань, 2021. —260 с. —ISBN 978-5-8114-7904-7.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167183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5.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Черникова, Н. Ю. Химия в доступном изложении: учебное пособие для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спо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195532</w:t>
                        </w: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D31CE4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6E76F1"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6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Арбузов, А.Е. А.М. Бутлеров - великий русский химик / А.Е. Арбузов. - М.: Правда,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2020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615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c.</w:t>
                        </w: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7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Химия обыденной жизни /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Феликс. - М.: СПб: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Брокгаузъ-Ефронъ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2021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- 240 c.</w:t>
                        </w: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8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 Гроссе, Э. Химия для 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любознательных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Э. Гроссе, Х.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Вайсмантель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- 335 c.</w:t>
                        </w: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9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Химия синтетических красителей / ред. К.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Венкатараман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- 488 c.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5E3DF7" w:rsidRPr="00295F47" w:rsidRDefault="00636FBA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67D" w:rsidRDefault="0032167D">
      <w:r>
        <w:separator/>
      </w:r>
    </w:p>
  </w:endnote>
  <w:endnote w:type="continuationSeparator" w:id="0">
    <w:p w:rsidR="0032167D" w:rsidRDefault="0032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9C" w:rsidRDefault="009F2CB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59699C" w:rsidRDefault="0059699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F2CB1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9C" w:rsidRDefault="009F2CB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59699C" w:rsidRDefault="0059699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F2CB1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9C" w:rsidRDefault="009F2CB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59699C" w:rsidRDefault="0059699C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9C" w:rsidRDefault="009F2CB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59699C" w:rsidRDefault="0059699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F2CB1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9C" w:rsidRDefault="009F2CB1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59699C" w:rsidRDefault="0059699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F2CB1">
                  <w:rPr>
                    <w:rFonts w:ascii="Calibri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67D" w:rsidRDefault="0032167D">
      <w:r>
        <w:separator/>
      </w:r>
    </w:p>
  </w:footnote>
  <w:footnote w:type="continuationSeparator" w:id="0">
    <w:p w:rsidR="0032167D" w:rsidRDefault="00321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53AC6"/>
    <w:rsid w:val="000546EB"/>
    <w:rsid w:val="00091500"/>
    <w:rsid w:val="0009689C"/>
    <w:rsid w:val="000B2AB8"/>
    <w:rsid w:val="000E090A"/>
    <w:rsid w:val="000F7604"/>
    <w:rsid w:val="0013342E"/>
    <w:rsid w:val="00140FC1"/>
    <w:rsid w:val="00163B17"/>
    <w:rsid w:val="00166F0C"/>
    <w:rsid w:val="001855D3"/>
    <w:rsid w:val="001E6A67"/>
    <w:rsid w:val="001F7706"/>
    <w:rsid w:val="00211426"/>
    <w:rsid w:val="00213F4D"/>
    <w:rsid w:val="00240D72"/>
    <w:rsid w:val="00263397"/>
    <w:rsid w:val="00287AE9"/>
    <w:rsid w:val="00295F47"/>
    <w:rsid w:val="002A7E97"/>
    <w:rsid w:val="002B3372"/>
    <w:rsid w:val="002E4BE1"/>
    <w:rsid w:val="0032167D"/>
    <w:rsid w:val="00323E5A"/>
    <w:rsid w:val="00356740"/>
    <w:rsid w:val="003B27D4"/>
    <w:rsid w:val="00424B34"/>
    <w:rsid w:val="00427C08"/>
    <w:rsid w:val="0045150A"/>
    <w:rsid w:val="00483698"/>
    <w:rsid w:val="004C4629"/>
    <w:rsid w:val="004D0BB3"/>
    <w:rsid w:val="00513BF4"/>
    <w:rsid w:val="005167A6"/>
    <w:rsid w:val="00542D6B"/>
    <w:rsid w:val="00550D2F"/>
    <w:rsid w:val="00560D07"/>
    <w:rsid w:val="00572FE0"/>
    <w:rsid w:val="005754C0"/>
    <w:rsid w:val="00577F4D"/>
    <w:rsid w:val="0058755A"/>
    <w:rsid w:val="0059699C"/>
    <w:rsid w:val="005A2D06"/>
    <w:rsid w:val="005A578E"/>
    <w:rsid w:val="005D1AA8"/>
    <w:rsid w:val="005E3DF7"/>
    <w:rsid w:val="005E6913"/>
    <w:rsid w:val="00627347"/>
    <w:rsid w:val="00636FBA"/>
    <w:rsid w:val="00645C43"/>
    <w:rsid w:val="006877E6"/>
    <w:rsid w:val="006956F3"/>
    <w:rsid w:val="006C239D"/>
    <w:rsid w:val="006D0A5F"/>
    <w:rsid w:val="006F40B7"/>
    <w:rsid w:val="00724D9B"/>
    <w:rsid w:val="007550D4"/>
    <w:rsid w:val="007617EA"/>
    <w:rsid w:val="007664AB"/>
    <w:rsid w:val="00776502"/>
    <w:rsid w:val="007915A6"/>
    <w:rsid w:val="007A198D"/>
    <w:rsid w:val="007A3BF5"/>
    <w:rsid w:val="007B50BE"/>
    <w:rsid w:val="007C5758"/>
    <w:rsid w:val="00801F8A"/>
    <w:rsid w:val="0080414E"/>
    <w:rsid w:val="00804E47"/>
    <w:rsid w:val="00874C96"/>
    <w:rsid w:val="008931B9"/>
    <w:rsid w:val="008C03D0"/>
    <w:rsid w:val="008C761A"/>
    <w:rsid w:val="008E2229"/>
    <w:rsid w:val="00902F1C"/>
    <w:rsid w:val="00911AD8"/>
    <w:rsid w:val="009E75B7"/>
    <w:rsid w:val="009E761F"/>
    <w:rsid w:val="009F1C6B"/>
    <w:rsid w:val="009F2CB1"/>
    <w:rsid w:val="009F606D"/>
    <w:rsid w:val="00A103EA"/>
    <w:rsid w:val="00A702DA"/>
    <w:rsid w:val="00AF64AF"/>
    <w:rsid w:val="00B04A5D"/>
    <w:rsid w:val="00B0730A"/>
    <w:rsid w:val="00B1071B"/>
    <w:rsid w:val="00B41CB3"/>
    <w:rsid w:val="00B874CF"/>
    <w:rsid w:val="00BC495B"/>
    <w:rsid w:val="00BD0EB0"/>
    <w:rsid w:val="00BD3142"/>
    <w:rsid w:val="00C15675"/>
    <w:rsid w:val="00C26E5F"/>
    <w:rsid w:val="00C433E3"/>
    <w:rsid w:val="00C506CE"/>
    <w:rsid w:val="00C6259A"/>
    <w:rsid w:val="00C8295F"/>
    <w:rsid w:val="00CF04D6"/>
    <w:rsid w:val="00CF0CC9"/>
    <w:rsid w:val="00D05D69"/>
    <w:rsid w:val="00D15A32"/>
    <w:rsid w:val="00D31CE4"/>
    <w:rsid w:val="00D3210A"/>
    <w:rsid w:val="00D70381"/>
    <w:rsid w:val="00D70ED1"/>
    <w:rsid w:val="00D9094F"/>
    <w:rsid w:val="00D90A57"/>
    <w:rsid w:val="00DC3B48"/>
    <w:rsid w:val="00DC446A"/>
    <w:rsid w:val="00DC63BC"/>
    <w:rsid w:val="00DD35F3"/>
    <w:rsid w:val="00DF286F"/>
    <w:rsid w:val="00DF49BD"/>
    <w:rsid w:val="00E414A5"/>
    <w:rsid w:val="00E445EF"/>
    <w:rsid w:val="00E61CC9"/>
    <w:rsid w:val="00E82D2F"/>
    <w:rsid w:val="00E951F2"/>
    <w:rsid w:val="00F97AF1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27D79-5CE2-4011-9CC1-AA33097E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42</Pages>
  <Words>8813</Words>
  <Characters>50240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Здоровцова Олеся Николаевна</cp:lastModifiedBy>
  <cp:revision>55</cp:revision>
  <dcterms:created xsi:type="dcterms:W3CDTF">2023-06-04T09:44:00Z</dcterms:created>
  <dcterms:modified xsi:type="dcterms:W3CDTF">2025-11-18T02:52:00Z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